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</w:p>
    <w:p w14:paraId="02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Сведения </w:t>
      </w:r>
    </w:p>
    <w:p w14:paraId="03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 поступлении средств в избирательные фонды </w:t>
      </w:r>
      <w:r>
        <w:rPr>
          <w:rFonts w:ascii="Times New Roman" w:hAnsi="Times New Roman"/>
          <w:sz w:val="24"/>
        </w:rPr>
        <w:t>кандидатов, избирательных объединений</w:t>
      </w:r>
      <w:r>
        <w:rPr>
          <w:rFonts w:ascii="Times New Roman" w:hAnsi="Times New Roman"/>
          <w:sz w:val="24"/>
        </w:rPr>
        <w:t xml:space="preserve"> и расходовании этих средств</w:t>
      </w:r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color w:themeColor="dark1" w:val="000000"/>
          <w:sz w:val="24"/>
          <w:u w:val="single"/>
        </w:rPr>
        <w:t xml:space="preserve">Выборы депутатов представительных органов сельских поселений Азовского района шестого созыва </w:t>
      </w:r>
    </w:p>
    <w:p w14:paraId="05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(наименование избирательной кампании)</w:t>
      </w:r>
    </w:p>
    <w:p w14:paraId="06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Маргаритовский десяти мандатный избирательный округ №1</w:t>
      </w:r>
    </w:p>
    <w:p w14:paraId="07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sz w:val="20"/>
        </w:rPr>
        <w:t xml:space="preserve">(наименование и номер одномандатного </w:t>
      </w:r>
      <w:r>
        <w:rPr>
          <w:rFonts w:ascii="Times New Roman" w:hAnsi="Times New Roman"/>
          <w:sz w:val="20"/>
        </w:rPr>
        <w:t xml:space="preserve">(многомандатного) </w:t>
      </w:r>
      <w:r>
        <w:rPr>
          <w:rFonts w:ascii="Times New Roman" w:hAnsi="Times New Roman"/>
          <w:sz w:val="20"/>
        </w:rPr>
        <w:t>избирательного округа)</w:t>
      </w:r>
    </w:p>
    <w:p w14:paraId="08000000">
      <w:pPr>
        <w:keepNext w:val="1"/>
        <w:spacing w:after="0" w:line="240" w:lineRule="auto"/>
        <w:ind/>
        <w:jc w:val="center"/>
        <w:outlineLvl w:val="1"/>
        <w:rPr>
          <w:rFonts w:ascii="Times New Roman" w:hAnsi="Times New Roman"/>
          <w:sz w:val="24"/>
        </w:rPr>
      </w:pPr>
    </w:p>
    <w:p w14:paraId="09000000">
      <w:pPr>
        <w:keepNext w:val="1"/>
        <w:spacing w:after="0" w:line="240" w:lineRule="auto"/>
        <w:ind/>
        <w:jc w:val="right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состо</w:t>
      </w:r>
      <w:r>
        <w:rPr>
          <w:rFonts w:ascii="Times New Roman" w:hAnsi="Times New Roman"/>
          <w:sz w:val="24"/>
        </w:rPr>
        <w:t xml:space="preserve">янию на «06» августа </w:t>
      </w:r>
      <w:r>
        <w:rPr>
          <w:rFonts w:ascii="Times New Roman" w:hAnsi="Times New Roman"/>
          <w:sz w:val="24"/>
        </w:rPr>
        <w:t>2026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г.</w:t>
      </w:r>
    </w:p>
    <w:tbl>
      <w:tblPr>
        <w:tblStyle w:val="Style_1"/>
        <w:tblInd w:type="dxa" w:w="108"/>
        <w:tblLayout w:type="fixed"/>
      </w:tblPr>
      <w:tblGrid>
        <w:gridCol w:w="483"/>
        <w:gridCol w:w="1628"/>
        <w:gridCol w:w="704"/>
        <w:gridCol w:w="985"/>
        <w:gridCol w:w="1689"/>
        <w:gridCol w:w="1126"/>
        <w:gridCol w:w="1360"/>
        <w:gridCol w:w="845"/>
        <w:gridCol w:w="1174"/>
        <w:gridCol w:w="1126"/>
        <w:gridCol w:w="1408"/>
        <w:gridCol w:w="985"/>
        <w:gridCol w:w="1407"/>
      </w:tblGrid>
      <w:tr>
        <w:trPr>
          <w:trHeight w:hRule="atLeast" w:val="283"/>
          <w:tblHeader/>
        </w:trP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№</w:t>
            </w:r>
          </w:p>
          <w:p w14:paraId="0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п/п</w:t>
            </w:r>
          </w:p>
        </w:tc>
        <w:tc>
          <w:tcPr>
            <w:tcW w:type="dxa" w:w="162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избирательного объединения / Фамилия, имя, отчество кандидата</w:t>
            </w:r>
          </w:p>
        </w:tc>
        <w:tc>
          <w:tcPr>
            <w:tcW w:type="dxa" w:w="5863"/>
            <w:gridSpan w:val="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Поступило средств</w:t>
            </w:r>
          </w:p>
        </w:tc>
        <w:tc>
          <w:tcPr>
            <w:tcW w:type="dxa" w:w="4552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Израсходовано средств</w:t>
            </w:r>
          </w:p>
        </w:tc>
        <w:tc>
          <w:tcPr>
            <w:tcW w:type="dxa" w:w="2392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Возвращено средств</w:t>
            </w:r>
          </w:p>
        </w:tc>
      </w:tr>
      <w:tr>
        <w:trPr>
          <w:trHeight w:hRule="atLeast" w:val="56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000000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type="dxa" w:w="5159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</w:t>
            </w:r>
          </w:p>
        </w:tc>
        <w:tc>
          <w:tcPr>
            <w:tcW w:type="dxa" w:w="84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2000000">
            <w:pPr>
              <w:spacing w:after="0" w:line="240" w:lineRule="auto"/>
              <w:ind w:firstLine="0" w:left="-108"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</w:p>
        </w:tc>
        <w:tc>
          <w:tcPr>
            <w:tcW w:type="dxa" w:w="3708"/>
            <w:gridSpan w:val="3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 финансовые операции по расходованию средств на сумму, превышающую</w:t>
            </w:r>
          </w:p>
          <w:p w14:paraId="1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50 тыс. рублей</w:t>
            </w:r>
          </w:p>
        </w:tc>
        <w:tc>
          <w:tcPr>
            <w:tcW w:type="dxa" w:w="98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Основание возврата</w:t>
            </w:r>
          </w:p>
        </w:tc>
      </w:tr>
      <w:tr>
        <w:trPr>
          <w:trHeight w:hRule="atLeast" w:val="845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2674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юридических лиц на сумму, превышающую 25 тыс. рублей</w:t>
            </w:r>
          </w:p>
        </w:tc>
        <w:tc>
          <w:tcPr>
            <w:tcW w:type="dxa" w:w="2486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граждан на сумму, превышающую  20 тыс. рублей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дата операции</w:t>
            </w:r>
          </w:p>
        </w:tc>
        <w:tc>
          <w:tcPr>
            <w:tcW w:type="dxa" w:w="1126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B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C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8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D000000">
            <w:pPr>
              <w:spacing w:after="0" w:line="240" w:lineRule="auto"/>
              <w:ind w:right="-76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назначение платежа</w:t>
            </w:r>
          </w:p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649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сумма,</w:t>
            </w:r>
          </w:p>
          <w:p w14:paraId="1F000000">
            <w:pPr>
              <w:spacing w:after="0" w:line="240" w:lineRule="auto"/>
              <w:ind w:right="-5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юридического лица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2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рублей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кол-во граждан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26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8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300"/>
          <w:tblHeader/>
        </w:trPr>
        <w:tc>
          <w:tcPr>
            <w:tcW w:type="dxa" w:w="48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4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5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70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6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7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8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9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A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type="dxa" w:w="84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B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type="dxa" w:w="117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C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D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type="dxa" w:w="140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E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F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0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</w:t>
            </w: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2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Долинин Д.Г.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3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211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E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Итого</w:t>
            </w:r>
            <w:r>
              <w:rPr>
                <w:rFonts w:ascii="Times New Roman" w:hAnsi="Times New Roman"/>
                <w:color w:val="000000"/>
                <w:sz w:val="20"/>
              </w:rPr>
              <w:t>: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44000000">
            <w:pPr>
              <w:ind/>
              <w:jc w:val="center"/>
            </w:pPr>
            <w: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4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14:paraId="4A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4B000000">
      <w:pPr>
        <w:spacing w:after="0" w:line="240" w:lineRule="auto"/>
        <w:ind/>
      </w:pPr>
    </w:p>
    <w:p w14:paraId="4C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D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E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F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0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1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2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3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sectPr>
      <w:pgSz w:h="11906" w:orient="landscape" w:w="16838"/>
      <w:pgMar w:bottom="284" w:footer="708" w:gutter="0" w:header="708" w:left="1134" w:right="678" w:top="85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200" w:line="276" w:lineRule="auto"/>
      <w:ind/>
    </w:pPr>
    <w:rPr>
      <w:sz w:val="22"/>
    </w:rPr>
  </w:style>
  <w:style w:default="1" w:styleId="Style_2_ch" w:type="character">
    <w:name w:val="Normal"/>
    <w:link w:val="Style_2"/>
    <w:rPr>
      <w:sz w:val="22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2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ConsNormal"/>
    <w:link w:val="Style_9_ch"/>
    <w:pPr>
      <w:widowControl w:val="0"/>
      <w:ind w:firstLine="720" w:left="0"/>
    </w:pPr>
    <w:rPr>
      <w:rFonts w:ascii="Times New Roman" w:hAnsi="Times New Roman"/>
      <w:sz w:val="28"/>
    </w:rPr>
  </w:style>
  <w:style w:styleId="Style_9_ch" w:type="character">
    <w:name w:val="ConsNormal"/>
    <w:link w:val="Style_9"/>
    <w:rPr>
      <w:rFonts w:ascii="Times New Roman" w:hAnsi="Times New Roman"/>
      <w:sz w:val="28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1" w:type="paragraph">
    <w:name w:val="heading 5"/>
    <w:next w:val="Style_2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2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basedOn w:val="Style_2"/>
    <w:link w:val="Style_14_ch"/>
    <w:pPr>
      <w:spacing w:after="0" w:line="240" w:lineRule="auto"/>
      <w:ind/>
    </w:pPr>
    <w:rPr>
      <w:sz w:val="20"/>
    </w:rPr>
  </w:style>
  <w:style w:styleId="Style_14_ch" w:type="character">
    <w:name w:val="Footnote"/>
    <w:basedOn w:val="Style_2_ch"/>
    <w:link w:val="Style_14"/>
    <w:rPr>
      <w:sz w:val="20"/>
    </w:rPr>
  </w:style>
  <w:style w:styleId="Style_15" w:type="paragraph">
    <w:name w:val="toc 1"/>
    <w:next w:val="Style_2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0"/>
    </w:rPr>
  </w:style>
  <w:style w:styleId="Style_16_ch" w:type="character">
    <w:name w:val="Header and Footer"/>
    <w:link w:val="Style_16"/>
    <w:rPr>
      <w:rFonts w:ascii="XO Thames" w:hAnsi="XO Thames"/>
      <w:sz w:val="20"/>
    </w:rPr>
  </w:style>
  <w:style w:styleId="Style_17" w:type="paragraph">
    <w:name w:val="toc 9"/>
    <w:next w:val="Style_2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2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2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footnote reference"/>
    <w:link w:val="Style_20_ch"/>
    <w:rPr>
      <w:sz w:val="22"/>
      <w:vertAlign w:val="superscript"/>
    </w:rPr>
  </w:style>
  <w:style w:styleId="Style_20_ch" w:type="character">
    <w:name w:val="footnote reference"/>
    <w:link w:val="Style_20"/>
    <w:rPr>
      <w:sz w:val="22"/>
      <w:vertAlign w:val="superscript"/>
    </w:rPr>
  </w:style>
  <w:style w:styleId="Style_21" w:type="paragraph">
    <w:name w:val="Subtitle"/>
    <w:next w:val="Style_2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Balloon Text"/>
    <w:basedOn w:val="Style_2"/>
    <w:link w:val="Style_22_ch"/>
    <w:pPr>
      <w:spacing w:after="0" w:line="240" w:lineRule="auto"/>
      <w:ind/>
    </w:pPr>
    <w:rPr>
      <w:rFonts w:ascii="Tahoma" w:hAnsi="Tahoma"/>
      <w:sz w:val="16"/>
    </w:rPr>
  </w:style>
  <w:style w:styleId="Style_22_ch" w:type="character">
    <w:name w:val="Balloon Text"/>
    <w:basedOn w:val="Style_2_ch"/>
    <w:link w:val="Style_22"/>
    <w:rPr>
      <w:rFonts w:ascii="Tahoma" w:hAnsi="Tahoma"/>
      <w:sz w:val="16"/>
    </w:rPr>
  </w:style>
  <w:style w:styleId="Style_23" w:type="paragraph">
    <w:name w:val="Title"/>
    <w:next w:val="Style_2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2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2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2026-08-06T05:47:32Z</dcterms:modified>
</cp:coreProperties>
</file>